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FB" w:rsidRPr="008613CC" w:rsidRDefault="00A7299D" w:rsidP="0086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13CC">
        <w:rPr>
          <w:rFonts w:ascii="Times New Roman" w:hAnsi="Times New Roman" w:cs="Times New Roman"/>
          <w:b/>
          <w:sz w:val="28"/>
          <w:szCs w:val="28"/>
          <w:lang w:val="sr-Cyrl-RS"/>
        </w:rPr>
        <w:t>УПУТСТВО ЗА СПРОВОЂЕЊЕ</w:t>
      </w:r>
    </w:p>
    <w:p w:rsidR="00B10411" w:rsidRPr="008613CC" w:rsidRDefault="00B10411" w:rsidP="00861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CC">
        <w:rPr>
          <w:rFonts w:ascii="Times New Roman" w:hAnsi="Times New Roman" w:cs="Times New Roman"/>
          <w:b/>
          <w:sz w:val="28"/>
          <w:szCs w:val="28"/>
        </w:rPr>
        <w:t>ПРОГРАМ</w:t>
      </w:r>
      <w:r w:rsidR="00A7299D" w:rsidRPr="008613CC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8613CC">
        <w:rPr>
          <w:rFonts w:ascii="Times New Roman" w:hAnsi="Times New Roman" w:cs="Times New Roman"/>
          <w:b/>
          <w:sz w:val="28"/>
          <w:szCs w:val="28"/>
        </w:rPr>
        <w:t xml:space="preserve"> ФИНАНСИЈСКЕ ПОДРШКЕ ЗА НАЈБОЉИХ 35 БИЗНИС ИДЕЈА МЛАДИХ ДО 35 ГОДИНА</w:t>
      </w:r>
    </w:p>
    <w:p w:rsidR="00832E83" w:rsidRPr="008613CC" w:rsidRDefault="00832E83" w:rsidP="008613C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0290B" w:rsidRPr="008613CC" w:rsidRDefault="00BA5B92" w:rsidP="008613C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C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46AD5" w:rsidRPr="008613CC" w:rsidRDefault="00946AD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Pr="008613CC">
        <w:rPr>
          <w:rFonts w:ascii="Times New Roman" w:hAnsi="Times New Roman" w:cs="Times New Roman"/>
          <w:sz w:val="24"/>
          <w:szCs w:val="24"/>
        </w:rPr>
        <w:t>Програм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613CC">
        <w:rPr>
          <w:rFonts w:ascii="Times New Roman" w:hAnsi="Times New Roman" w:cs="Times New Roman"/>
          <w:sz w:val="24"/>
          <w:szCs w:val="24"/>
        </w:rPr>
        <w:t xml:space="preserve"> финансијске подршке за најбољих 35 бизнис идеја младих до 35 година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Програм) је подстицање нових предузетничких иницијатива младих, обезбеђивање финансијске подршке младима ради реализације њихових бизнис идеја, као и повећање запошљавања младих.</w:t>
      </w:r>
    </w:p>
    <w:p w:rsidR="00946AD5" w:rsidRPr="008613CC" w:rsidRDefault="00946AD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Средства опредељена овим програмом намењена су за</w:t>
      </w:r>
      <w:r w:rsidRPr="008613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</w:t>
      </w:r>
      <w:r w:rsidRPr="008613CC">
        <w:rPr>
          <w:rFonts w:ascii="Times New Roman" w:hAnsi="Times New Roman" w:cs="Times New Roman"/>
          <w:sz w:val="24"/>
          <w:szCs w:val="24"/>
          <w:lang w:val="sr-Latn-RS"/>
        </w:rPr>
        <w:t xml:space="preserve">35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нових бизнис идеја младих</w:t>
      </w:r>
      <w:r w:rsidRPr="008613CC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8613CC">
        <w:rPr>
          <w:rFonts w:ascii="Times New Roman" w:hAnsi="Times New Roman" w:cs="Times New Roman"/>
          <w:sz w:val="24"/>
          <w:szCs w:val="24"/>
          <w:lang w:val="sr-Latn-RS"/>
        </w:rPr>
        <w:t xml:space="preserve"> 35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година,  у складу са одобреним бизнис планом. </w:t>
      </w:r>
    </w:p>
    <w:p w:rsidR="00946AD5" w:rsidRPr="008613CC" w:rsidRDefault="00946AD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чије бизнис идеје буду изабране на конкурсу, могу остварити право на бесповратна средства </w:t>
      </w:r>
      <w:r w:rsidRPr="008613CC">
        <w:rPr>
          <w:rFonts w:ascii="Times New Roman" w:hAnsi="Times New Roman" w:cs="Times New Roman"/>
          <w:sz w:val="24"/>
          <w:szCs w:val="24"/>
        </w:rPr>
        <w:t>у износу д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613CC">
        <w:rPr>
          <w:rFonts w:ascii="Times New Roman" w:hAnsi="Times New Roman" w:cs="Times New Roman"/>
          <w:sz w:val="24"/>
          <w:szCs w:val="24"/>
        </w:rPr>
        <w:t xml:space="preserve"> РСД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 500.000,00</w:t>
      </w:r>
      <w:r w:rsidRPr="008613CC">
        <w:rPr>
          <w:rFonts w:ascii="Times New Roman" w:hAnsi="Times New Roman" w:cs="Times New Roman"/>
          <w:sz w:val="24"/>
          <w:szCs w:val="24"/>
        </w:rPr>
        <w:t>.</w:t>
      </w:r>
    </w:p>
    <w:p w:rsidR="00946AD5" w:rsidRPr="008613CC" w:rsidRDefault="00946AD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2557" w:rsidRPr="008613CC" w:rsidRDefault="002E255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b/>
          <w:sz w:val="24"/>
          <w:szCs w:val="24"/>
          <w:lang w:val="sr-Cyrl-RS"/>
        </w:rPr>
        <w:t>ПОДНОШЕЊЕ ПРИЈАВА</w:t>
      </w:r>
    </w:p>
    <w:p w:rsidR="002E2557" w:rsidRPr="008613CC" w:rsidRDefault="002E255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299D" w:rsidRPr="008613CC" w:rsidRDefault="00A7299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Pr="008613CC">
        <w:rPr>
          <w:rFonts w:ascii="Times New Roman" w:hAnsi="Times New Roman" w:cs="Times New Roman"/>
          <w:sz w:val="24"/>
          <w:szCs w:val="24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да поднесу пријаву по </w:t>
      </w:r>
      <w:r w:rsidRPr="008613CC">
        <w:rPr>
          <w:rFonts w:ascii="Times New Roman" w:hAnsi="Times New Roman" w:cs="Times New Roman"/>
          <w:sz w:val="24"/>
          <w:szCs w:val="24"/>
        </w:rPr>
        <w:t>Програм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у имају појединци или тимови (које чине минимално два, а максимално пет чланова)</w:t>
      </w:r>
      <w:r w:rsidRPr="008613CC">
        <w:rPr>
          <w:rFonts w:ascii="Times New Roman" w:hAnsi="Times New Roman" w:cs="Times New Roman"/>
          <w:sz w:val="24"/>
          <w:szCs w:val="24"/>
        </w:rPr>
        <w:t xml:space="preserve"> старости од 20  до 35 година,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лица </w:t>
      </w:r>
      <w:r w:rsidRPr="008613CC">
        <w:rPr>
          <w:rFonts w:ascii="Times New Roman" w:hAnsi="Times New Roman" w:cs="Times New Roman"/>
          <w:sz w:val="24"/>
          <w:szCs w:val="24"/>
        </w:rPr>
        <w:t>рођен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их у периоду од 01.01.</w:t>
      </w:r>
      <w:r w:rsidRPr="008613CC">
        <w:rPr>
          <w:rFonts w:ascii="Times New Roman" w:hAnsi="Times New Roman" w:cs="Times New Roman"/>
          <w:sz w:val="24"/>
          <w:szCs w:val="24"/>
        </w:rPr>
        <w:t xml:space="preserve">1989. године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до 31.12.2005. године ( у даљем тексту: корисници).</w:t>
      </w:r>
    </w:p>
    <w:p w:rsidR="00A7299D" w:rsidRPr="008613CC" w:rsidRDefault="00A7299D" w:rsidP="008613C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EF02AB" w:rsidRPr="008613CC" w:rsidRDefault="00A7299D" w:rsidP="008613CC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8613CC">
        <w:rPr>
          <w:rFonts w:ascii="Times New Roman" w:hAnsi="Times New Roman"/>
          <w:sz w:val="24"/>
          <w:szCs w:val="24"/>
          <w:lang w:val="sr-Cyrl-RS"/>
        </w:rPr>
        <w:t xml:space="preserve">Пријава се подноси достављањем следеће документације: </w:t>
      </w:r>
    </w:p>
    <w:p w:rsidR="00793FC3" w:rsidRDefault="005727FB" w:rsidP="00793FC3">
      <w:pPr>
        <w:pStyle w:val="ListParagraph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CC">
        <w:rPr>
          <w:rFonts w:ascii="Times New Roman" w:hAnsi="Times New Roman"/>
          <w:sz w:val="24"/>
          <w:szCs w:val="24"/>
          <w:lang w:val="sr-Cyrl-RS"/>
        </w:rPr>
        <w:t xml:space="preserve">попуњен Образац </w:t>
      </w:r>
      <w:r w:rsidR="00662E89" w:rsidRPr="008613CC">
        <w:rPr>
          <w:rFonts w:ascii="Times New Roman" w:hAnsi="Times New Roman"/>
          <w:sz w:val="24"/>
          <w:szCs w:val="24"/>
          <w:lang w:val="sr-Cyrl-RS"/>
        </w:rPr>
        <w:t>пријаве</w:t>
      </w:r>
      <w:r w:rsidR="00DE6E87" w:rsidRPr="008613CC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662E89" w:rsidRPr="008613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411" w:rsidRPr="008613CC">
        <w:rPr>
          <w:rFonts w:ascii="Times New Roman" w:hAnsi="Times New Roman"/>
          <w:sz w:val="24"/>
          <w:szCs w:val="24"/>
          <w:lang w:val="sr-Cyrl-RS"/>
        </w:rPr>
        <w:t>Програм</w:t>
      </w:r>
      <w:r w:rsidRPr="008613CC">
        <w:rPr>
          <w:rFonts w:ascii="Times New Roman" w:hAnsi="Times New Roman"/>
          <w:sz w:val="24"/>
          <w:szCs w:val="24"/>
          <w:lang w:val="sr-Cyrl-RS"/>
        </w:rPr>
        <w:t>;</w:t>
      </w:r>
    </w:p>
    <w:p w:rsidR="008E5239" w:rsidRDefault="00DE6E87" w:rsidP="00793FC3">
      <w:pPr>
        <w:pStyle w:val="ListParagraph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FC3">
        <w:rPr>
          <w:rFonts w:ascii="Times New Roman" w:hAnsi="Times New Roman"/>
          <w:sz w:val="24"/>
          <w:szCs w:val="24"/>
          <w:lang w:val="sr-Cyrl-RS"/>
        </w:rPr>
        <w:t>попуњена и потписана Изјава</w:t>
      </w:r>
      <w:r w:rsidR="00A7299D" w:rsidRPr="00793FC3">
        <w:rPr>
          <w:rFonts w:ascii="Times New Roman" w:hAnsi="Times New Roman"/>
          <w:sz w:val="24"/>
          <w:szCs w:val="24"/>
          <w:lang w:val="sr-Cyrl-RS"/>
        </w:rPr>
        <w:t xml:space="preserve"> о давању сагласности Министарству привреде</w:t>
      </w:r>
      <w:r w:rsidR="00793FC3">
        <w:rPr>
          <w:rFonts w:ascii="Times New Roman" w:hAnsi="Times New Roman"/>
          <w:sz w:val="24"/>
          <w:szCs w:val="24"/>
          <w:lang w:val="sr-Cyrl-RS"/>
        </w:rPr>
        <w:t xml:space="preserve"> ( у даљем тексту: Министарство)</w:t>
      </w:r>
      <w:r w:rsidR="00A7299D" w:rsidRPr="00793FC3">
        <w:rPr>
          <w:rFonts w:ascii="Times New Roman" w:hAnsi="Times New Roman"/>
          <w:sz w:val="24"/>
          <w:szCs w:val="24"/>
          <w:lang w:val="sr-Cyrl-RS"/>
        </w:rPr>
        <w:t xml:space="preserve"> за прикупљање, обраду и коришћење личних података за потребу спровођења јавног позива у оквиру Програма</w:t>
      </w:r>
    </w:p>
    <w:p w:rsidR="00A7299D" w:rsidRPr="00793FC3" w:rsidRDefault="008E5239" w:rsidP="00793FC3">
      <w:pPr>
        <w:pStyle w:val="ListParagraph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очитана лична карта појединца, односно свих чланова тима</w:t>
      </w:r>
      <w:r w:rsidR="00A7299D" w:rsidRPr="00793FC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3FC3" w:rsidRDefault="00793FC3" w:rsidP="008613CC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62E89" w:rsidRPr="008613CC" w:rsidRDefault="00A7299D" w:rsidP="008613CC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613CC">
        <w:rPr>
          <w:rFonts w:ascii="Times New Roman" w:hAnsi="Times New Roman"/>
          <w:b/>
          <w:sz w:val="24"/>
          <w:szCs w:val="24"/>
          <w:lang w:val="sr-Cyrl-RS"/>
        </w:rPr>
        <w:t>Уколико пријаву подноси тим, потребно је да сваки члан тима попуни</w:t>
      </w:r>
      <w:r w:rsidR="00F663F5" w:rsidRPr="008613CC">
        <w:rPr>
          <w:rFonts w:ascii="Times New Roman" w:hAnsi="Times New Roman"/>
          <w:b/>
          <w:sz w:val="24"/>
          <w:szCs w:val="24"/>
          <w:lang w:val="sr-Cyrl-RS"/>
        </w:rPr>
        <w:t xml:space="preserve"> и</w:t>
      </w:r>
      <w:r w:rsidRPr="008613CC">
        <w:rPr>
          <w:rFonts w:ascii="Times New Roman" w:hAnsi="Times New Roman"/>
          <w:b/>
          <w:sz w:val="24"/>
          <w:szCs w:val="24"/>
          <w:lang w:val="sr-Cyrl-RS"/>
        </w:rPr>
        <w:t xml:space="preserve"> потпише </w:t>
      </w:r>
      <w:r w:rsidR="00793FC3">
        <w:rPr>
          <w:rFonts w:ascii="Times New Roman" w:hAnsi="Times New Roman"/>
          <w:b/>
          <w:sz w:val="24"/>
          <w:szCs w:val="24"/>
          <w:lang w:val="sr-Cyrl-RS"/>
        </w:rPr>
        <w:t xml:space="preserve">ову </w:t>
      </w:r>
      <w:r w:rsidRPr="008613CC">
        <w:rPr>
          <w:rFonts w:ascii="Times New Roman" w:hAnsi="Times New Roman"/>
          <w:b/>
          <w:sz w:val="24"/>
          <w:szCs w:val="24"/>
          <w:lang w:val="sr-Cyrl-RS"/>
        </w:rPr>
        <w:t>изјаву.</w:t>
      </w:r>
    </w:p>
    <w:p w:rsidR="00946AD5" w:rsidRPr="008613CC" w:rsidRDefault="00946AD5" w:rsidP="008613CC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Пријаве се предају у затвореној коверти са назнаком „Пријава за</w:t>
      </w:r>
      <w:r w:rsidR="00476A85" w:rsidRPr="008613CC">
        <w:rPr>
          <w:rFonts w:ascii="Times New Roman" w:hAnsi="Times New Roman" w:cs="Times New Roman"/>
          <w:sz w:val="24"/>
          <w:szCs w:val="24"/>
        </w:rPr>
        <w:t xml:space="preserve"> Програм финансијске подршке за најбољих 35 бизнис идеја младих до 35 година</w:t>
      </w:r>
      <w:r w:rsidR="00476A85"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– НЕ ОТВАРАТИ</w:t>
      </w:r>
      <w:r w:rsidRPr="008613CC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 са пуном адресом </w:t>
      </w:r>
      <w:r w:rsidR="00793FC3">
        <w:rPr>
          <w:rFonts w:ascii="Times New Roman" w:hAnsi="Times New Roman" w:cs="Times New Roman"/>
          <w:sz w:val="24"/>
          <w:szCs w:val="24"/>
          <w:lang w:val="sr-Cyrl-RS"/>
        </w:rPr>
        <w:t>вође тима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 на полеђини коверте. Неблаговремене и непотпуне пријаве се неће разматрати.</w:t>
      </w: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Пријава се предаје лично или препоручено поштом на адресу:</w:t>
      </w: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</w:t>
      </w: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 xml:space="preserve">Сектор за развој малих и средњих предузећа и предузетништва </w:t>
      </w: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Кнеза Милоша 20</w:t>
      </w:r>
    </w:p>
    <w:p w:rsidR="00946AD5" w:rsidRPr="008613CC" w:rsidRDefault="00946AD5" w:rsidP="008613C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613CC">
        <w:rPr>
          <w:rFonts w:ascii="Times New Roman" w:hAnsi="Times New Roman"/>
          <w:b/>
          <w:sz w:val="24"/>
          <w:szCs w:val="24"/>
          <w:lang w:val="sr-Cyrl-RS"/>
        </w:rPr>
        <w:t>Рок за подношење пријава је 1</w:t>
      </w:r>
      <w:r w:rsidR="00F3056F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8613CC">
        <w:rPr>
          <w:rFonts w:ascii="Times New Roman" w:hAnsi="Times New Roman"/>
          <w:b/>
          <w:sz w:val="24"/>
          <w:szCs w:val="24"/>
          <w:lang w:val="sr-Cyrl-RS"/>
        </w:rPr>
        <w:t>. март 2025. године.</w:t>
      </w: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613CC">
        <w:rPr>
          <w:rFonts w:ascii="Times New Roman" w:hAnsi="Times New Roman"/>
          <w:b/>
          <w:sz w:val="24"/>
          <w:szCs w:val="24"/>
          <w:lang w:val="sr-Cyrl-RS"/>
        </w:rPr>
        <w:t xml:space="preserve">ПРЕГЛЕДАЊЕ ПОДНЕТИХ ПРИЈАВА И ИЗБОР КОРИСНИКА ЗА </w:t>
      </w:r>
      <w:r w:rsidR="00087E7A" w:rsidRPr="008613CC">
        <w:rPr>
          <w:rFonts w:ascii="Times New Roman" w:hAnsi="Times New Roman"/>
          <w:b/>
          <w:sz w:val="24"/>
          <w:szCs w:val="24"/>
          <w:lang w:val="sr-Cyrl-RS"/>
        </w:rPr>
        <w:t>ДРУГУ</w:t>
      </w:r>
      <w:r w:rsidRPr="008613CC">
        <w:rPr>
          <w:rFonts w:ascii="Times New Roman" w:hAnsi="Times New Roman"/>
          <w:b/>
          <w:sz w:val="24"/>
          <w:szCs w:val="24"/>
          <w:lang w:val="sr-Cyrl-RS"/>
        </w:rPr>
        <w:t xml:space="preserve"> ФАЗУ ПРОГРМА </w:t>
      </w: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0290B" w:rsidRPr="008613CC" w:rsidRDefault="00DE6E87" w:rsidP="008613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613CC">
        <w:rPr>
          <w:rFonts w:ascii="Times New Roman" w:hAnsi="Times New Roman"/>
          <w:sz w:val="24"/>
          <w:szCs w:val="24"/>
          <w:lang w:val="sr-Cyrl-RS"/>
        </w:rPr>
        <w:t>Све пријаве привредних субјеката биће отворене и разматране</w:t>
      </w:r>
      <w:r w:rsidR="00F663F5" w:rsidRPr="008613CC">
        <w:rPr>
          <w:rFonts w:ascii="Times New Roman" w:hAnsi="Times New Roman"/>
          <w:sz w:val="24"/>
          <w:szCs w:val="24"/>
          <w:lang w:val="sr-Cyrl-RS"/>
        </w:rPr>
        <w:t xml:space="preserve"> након затварања Јавног позива.</w:t>
      </w:r>
    </w:p>
    <w:p w:rsidR="0060290B" w:rsidRPr="008613CC" w:rsidRDefault="006029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На основу прикупљених пријава, стручна служба Министарства</w:t>
      </w:r>
      <w:r w:rsidR="00793FC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врши 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прегледање, контролу формалне исправности и вредновање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бизнис идеја 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на основу података које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подносиоци захтева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 наведу у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>брасцу пријаве.</w:t>
      </w:r>
      <w:r w:rsidRPr="008613CC">
        <w:rPr>
          <w:rFonts w:ascii="Times New Roman" w:hAnsi="Times New Roman" w:cs="Times New Roman"/>
          <w:color w:val="000000"/>
          <w:sz w:val="24"/>
          <w:szCs w:val="24"/>
          <w:lang w:val="ru-RU" w:eastAsia="en-GB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60290B" w:rsidRPr="008613CC" w:rsidRDefault="006029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3CC">
        <w:rPr>
          <w:rFonts w:ascii="Times New Roman" w:hAnsi="Times New Roman" w:cs="Times New Roman"/>
          <w:noProof/>
          <w:sz w:val="24"/>
          <w:szCs w:val="24"/>
        </w:rPr>
        <w:t>Бизнис идеја вреднује се на основу следећих критеријума: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3C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</w:t>
      </w: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Значај</w:t>
      </w:r>
      <w:r w:rsidRPr="008613CC">
        <w:rPr>
          <w:rFonts w:ascii="Times New Roman" w:hAnsi="Times New Roman" w:cs="Times New Roman"/>
          <w:noProof/>
          <w:sz w:val="24"/>
          <w:szCs w:val="24"/>
        </w:rPr>
        <w:t xml:space="preserve"> проблема коју бизнис идеја треба да реши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3CC">
        <w:rPr>
          <w:rFonts w:ascii="Times New Roman" w:hAnsi="Times New Roman" w:cs="Times New Roman"/>
          <w:noProof/>
          <w:sz w:val="24"/>
          <w:szCs w:val="24"/>
        </w:rPr>
        <w:t>2. Оригиналност идеје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8613CC">
        <w:rPr>
          <w:rFonts w:ascii="Times New Roman" w:hAnsi="Times New Roman" w:cs="Times New Roman"/>
          <w:noProof/>
          <w:sz w:val="24"/>
          <w:szCs w:val="24"/>
        </w:rPr>
        <w:t>. Потенцијал примене и развоја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Pr="008613CC">
        <w:rPr>
          <w:rFonts w:ascii="Times New Roman" w:hAnsi="Times New Roman" w:cs="Times New Roman"/>
          <w:noProof/>
          <w:sz w:val="24"/>
          <w:szCs w:val="24"/>
        </w:rPr>
        <w:t>. Компетенције тима</w:t>
      </w:r>
    </w:p>
    <w:p w:rsidR="0060290B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Разрађеност пословне идеје</w:t>
      </w:r>
    </w:p>
    <w:p w:rsidR="00793FC3" w:rsidRPr="008613CC" w:rsidRDefault="00793FC3" w:rsidP="00793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По окончању поступка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који спроводи стручна служба, министар привреде доноси одлуку о избору бизнис идеја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које улазе у другу фазу Програма. </w:t>
      </w:r>
    </w:p>
    <w:p w:rsidR="00793FC3" w:rsidRPr="008613CC" w:rsidRDefault="00793FC3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ДРУГА ФАЗА ПРОГРАМА: БЕСПЛАТНЕ ОБУКЕ, ПРИПРМЕ БИЗНИ</w:t>
      </w:r>
      <w:r w:rsidR="00D5130E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7B60C3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е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ПЛАНА И  ДОДЕЛА БЕСПОВРАТНИХ СРЕДСТАВА</w:t>
      </w:r>
    </w:p>
    <w:p w:rsidR="00F663F5" w:rsidRPr="008613CC" w:rsidRDefault="00F663F5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60290B" w:rsidRPr="008613CC" w:rsidRDefault="00793FC3" w:rsidP="00793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Потенцијални корисници чије су бизнис идеје одабране за другу фазу Програма</w:t>
      </w:r>
      <w:r w:rsidR="0060290B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добијају бесплатну стручну помоћ од стране Акредитованих регионалних развојних агенција (у даљем тексту: АРРА), за разраду бизнис идеје и израду бизнис плана са буџетом пројекта. </w:t>
      </w:r>
    </w:p>
    <w:p w:rsidR="0060290B" w:rsidRPr="008613CC" w:rsidRDefault="0060290B" w:rsidP="00793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Корисници одабрани у првој фази,</w:t>
      </w:r>
      <w:r w:rsidR="00314AA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272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након што добију </w:t>
      </w:r>
      <w:r w:rsidR="00314AA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бесплатну стручну помоћ од стране АРРА,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сачињ</w:t>
      </w:r>
      <w:r w:rsidR="005272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авању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>бизнис план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са буџетом</w:t>
      </w:r>
      <w:r w:rsidR="005272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за своју бизнис идеју и достављају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Министарству. </w:t>
      </w:r>
      <w:r w:rsidR="00D5130E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Форма бизнис плана</w:t>
      </w:r>
      <w:r w:rsidR="008613C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, са планом буџета пројекта</w:t>
      </w:r>
      <w:r w:rsidR="00D5130E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43966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је саставни део овог Упутства.</w:t>
      </w:r>
    </w:p>
    <w:p w:rsidR="00CD3D39" w:rsidRPr="008613CC" w:rsidRDefault="008613CC" w:rsidP="00793FC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 w:eastAsia="sr-Latn-RS"/>
        </w:rPr>
      </w:pPr>
      <w:r w:rsidRPr="008613CC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>Д</w:t>
      </w:r>
      <w:r w:rsidRPr="008613CC">
        <w:rPr>
          <w:rFonts w:ascii="Times New Roman" w:hAnsi="Times New Roman"/>
          <w:b/>
          <w:bCs/>
          <w:sz w:val="24"/>
          <w:szCs w:val="24"/>
          <w:lang w:eastAsia="sr-Latn-RS"/>
        </w:rPr>
        <w:t>озвољени</w:t>
      </w:r>
      <w:r w:rsidR="00CD3D39" w:rsidRPr="008613CC">
        <w:rPr>
          <w:rFonts w:ascii="Times New Roman" w:hAnsi="Times New Roman"/>
          <w:b/>
          <w:bCs/>
          <w:sz w:val="24"/>
          <w:szCs w:val="24"/>
          <w:lang w:eastAsia="sr-Latn-RS"/>
        </w:rPr>
        <w:t xml:space="preserve"> трошков</w:t>
      </w:r>
      <w:r w:rsidRPr="008613CC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>и</w:t>
      </w:r>
      <w:r w:rsidR="005549F8" w:rsidRPr="008613CC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 xml:space="preserve"> који могу бити финансирани средствима програма</w:t>
      </w:r>
      <w:r w:rsidRPr="008613CC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 xml:space="preserve"> обухватају</w:t>
      </w:r>
      <w:r w:rsidR="004D075E" w:rsidRPr="008613CC">
        <w:rPr>
          <w:rFonts w:ascii="Times New Roman" w:hAnsi="Times New Roman"/>
          <w:b/>
          <w:bCs/>
          <w:sz w:val="24"/>
          <w:szCs w:val="24"/>
          <w:lang w:val="sr-Cyrl-RS" w:eastAsia="sr-Latn-RS"/>
        </w:rPr>
        <w:t>:</w:t>
      </w:r>
    </w:p>
    <w:p w:rsidR="005549F8" w:rsidRPr="008613CC" w:rsidRDefault="007E6E5A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Трошкови радне снаге (п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лате</w:t>
      </w:r>
      <w:r w:rsidR="009F75D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 накнаде за рад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радно ангаж</w:t>
      </w:r>
      <w:r w:rsidR="009F75D0">
        <w:rPr>
          <w:rFonts w:ascii="Times New Roman" w:eastAsia="Times New Roman" w:hAnsi="Times New Roman"/>
          <w:sz w:val="24"/>
          <w:szCs w:val="24"/>
          <w:lang w:val="sr-Cyrl-RS" w:eastAsia="sr-Latn-RS"/>
        </w:rPr>
        <w:t>ованих лица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у новооснованом привредном субјекту)</w:t>
      </w:r>
    </w:p>
    <w:p w:rsidR="00CD3D39" w:rsidRPr="008613CC" w:rsidRDefault="008613CC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Трошкове н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абавка </w:t>
      </w:r>
      <w:r w:rsidR="009F75D0">
        <w:rPr>
          <w:rFonts w:ascii="Times New Roman" w:eastAsia="Times New Roman" w:hAnsi="Times New Roman"/>
          <w:sz w:val="24"/>
          <w:szCs w:val="24"/>
          <w:lang w:val="sr-Cyrl-RS" w:eastAsia="sr-Latn-RS"/>
        </w:rPr>
        <w:t>мат</w:t>
      </w:r>
      <w:r w:rsidR="00177183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еријалних основних средстава:</w:t>
      </w:r>
      <w:r w:rsidR="00177183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 опреме</w:t>
      </w:r>
      <w:r w:rsidR="00177183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, машина, </w:t>
      </w:r>
      <w:r w:rsidR="009F75D0">
        <w:rPr>
          <w:rFonts w:ascii="Times New Roman" w:eastAsia="Times New Roman" w:hAnsi="Times New Roman"/>
          <w:sz w:val="24"/>
          <w:szCs w:val="24"/>
          <w:lang w:val="sr-Cyrl-RS" w:eastAsia="sr-Latn-RS"/>
        </w:rPr>
        <w:t>рачунарска опрема</w:t>
      </w:r>
      <w:r w:rsidR="007E6E5A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</w:p>
    <w:p w:rsidR="005549F8" w:rsidRPr="008613CC" w:rsidRDefault="008613CC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Трошкове к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>уповин</w:t>
      </w: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 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лиценцираних 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софтвера </w:t>
      </w:r>
    </w:p>
    <w:p w:rsidR="00CD3D39" w:rsidRPr="008613CC" w:rsidRDefault="00CD3D39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Трошкови 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похађања </w:t>
      </w:r>
      <w:r w:rsidRPr="008613CC">
        <w:rPr>
          <w:rFonts w:ascii="Times New Roman" w:eastAsia="Times New Roman" w:hAnsi="Times New Roman"/>
          <w:sz w:val="24"/>
          <w:szCs w:val="24"/>
          <w:lang w:eastAsia="sr-Latn-RS"/>
        </w:rPr>
        <w:t>обуке и едукације</w:t>
      </w:r>
    </w:p>
    <w:p w:rsidR="00CD3D39" w:rsidRPr="008613CC" w:rsidRDefault="00CD3D39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Маркетиншки трошкови (дизајн, штампа материјала, 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трошкови </w:t>
      </w:r>
      <w:r w:rsidR="005549F8" w:rsidRPr="008613CC">
        <w:rPr>
          <w:rFonts w:ascii="Times New Roman" w:eastAsia="Times New Roman" w:hAnsi="Times New Roman"/>
          <w:sz w:val="24"/>
          <w:szCs w:val="24"/>
          <w:lang w:eastAsia="sr-Latn-RS"/>
        </w:rPr>
        <w:t>оглашавања и сл.</w:t>
      </w:r>
      <w:r w:rsidRPr="008613CC">
        <w:rPr>
          <w:rFonts w:ascii="Times New Roman" w:eastAsia="Times New Roman" w:hAnsi="Times New Roman"/>
          <w:sz w:val="24"/>
          <w:szCs w:val="24"/>
          <w:lang w:eastAsia="sr-Latn-RS"/>
        </w:rPr>
        <w:t>)</w:t>
      </w:r>
    </w:p>
    <w:p w:rsidR="00CD3D39" w:rsidRPr="008613CC" w:rsidRDefault="008613CC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Трошкове з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акуп</w:t>
      </w: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а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п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>ростор</w:t>
      </w:r>
      <w:r w:rsidR="005549F8"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а</w:t>
      </w:r>
      <w:r w:rsidR="00293B20">
        <w:rPr>
          <w:rFonts w:ascii="Times New Roman" w:eastAsia="Times New Roman" w:hAnsi="Times New Roman"/>
          <w:sz w:val="24"/>
          <w:szCs w:val="24"/>
          <w:lang w:val="sr-Cyrl-RS" w:eastAsia="sr-Latn-RS"/>
        </w:rPr>
        <w:t>, књиговодствених</w:t>
      </w:r>
      <w:r w:rsidR="00B03858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 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и режијски трошкови </w:t>
      </w:r>
    </w:p>
    <w:p w:rsidR="00177183" w:rsidRDefault="00177183" w:rsidP="009F75D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Трошкови набавке материјала и сировина 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>неопходни</w:t>
      </w: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х</w:t>
      </w:r>
      <w:r w:rsidR="00CD3D39" w:rsidRPr="008613CC">
        <w:rPr>
          <w:rFonts w:ascii="Times New Roman" w:eastAsia="Times New Roman" w:hAnsi="Times New Roman"/>
          <w:sz w:val="24"/>
          <w:szCs w:val="24"/>
          <w:lang w:eastAsia="sr-Latn-RS"/>
        </w:rPr>
        <w:t xml:space="preserve"> за производњу или пружање услуга</w:t>
      </w:r>
    </w:p>
    <w:p w:rsidR="009F75D0" w:rsidRPr="008613CC" w:rsidRDefault="009F75D0" w:rsidP="009F75D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</w:p>
    <w:p w:rsidR="009F75D0" w:rsidRDefault="009F75D0" w:rsidP="009F75D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 w:eastAsia="sr-Latn-RS"/>
        </w:rPr>
      </w:pPr>
      <w:r>
        <w:rPr>
          <w:rFonts w:ascii="Times New Roman" w:hAnsi="Times New Roman"/>
          <w:bCs/>
          <w:sz w:val="24"/>
          <w:szCs w:val="24"/>
          <w:lang w:val="sr-Cyrl-RS" w:eastAsia="sr-Latn-RS"/>
        </w:rPr>
        <w:t>Сви трошкови  наведени под тачкама 2, 3, 4, 5, 6 и 7 морају бити плаћени са рачуна новоснованог привредног субјекта и не могу бити плаћени физичким лицима (сем уколико истовремено то физичко лице није регистровано и као предузетник, у ком случају се уплата врши на рачун предузетника). Исплата плата</w:t>
      </w:r>
      <w:r w:rsidR="007E6E5A">
        <w:rPr>
          <w:rFonts w:ascii="Times New Roman" w:hAnsi="Times New Roman"/>
          <w:bCs/>
          <w:sz w:val="24"/>
          <w:szCs w:val="24"/>
          <w:lang w:val="sr-Cyrl-RS" w:eastAsia="sr-Latn-RS"/>
        </w:rPr>
        <w:t xml:space="preserve"> и накнада за рад мора бити такође са рачуна новооснованог привредног субјекта и то само лицима са којима тај привредни субјекат има одговарајући уговор за радно ангажовање.</w:t>
      </w:r>
      <w:r>
        <w:rPr>
          <w:rFonts w:ascii="Times New Roman" w:hAnsi="Times New Roman"/>
          <w:bCs/>
          <w:sz w:val="24"/>
          <w:szCs w:val="24"/>
          <w:lang w:val="sr-Cyrl-RS" w:eastAsia="sr-Latn-RS"/>
        </w:rPr>
        <w:t xml:space="preserve"> </w:t>
      </w:r>
    </w:p>
    <w:p w:rsidR="008613CC" w:rsidRPr="008613CC" w:rsidRDefault="008613CC" w:rsidP="007E6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8613CC">
        <w:rPr>
          <w:rFonts w:ascii="Times New Roman" w:hAnsi="Times New Roman"/>
          <w:bCs/>
          <w:sz w:val="24"/>
          <w:szCs w:val="24"/>
          <w:lang w:val="sr-Cyrl-RS" w:eastAsia="sr-Latn-RS"/>
        </w:rPr>
        <w:t>Дозвољени трошкови укључују и  припадајући ПДВ, трошкове транспорта и монтаже код набавке роба и услуга односно припадајуће порезе и доприносе на плате запослених.</w:t>
      </w:r>
    </w:p>
    <w:p w:rsidR="008613CC" w:rsidRPr="00793FC3" w:rsidRDefault="008613CC" w:rsidP="00793FC3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4"/>
          <w:szCs w:val="24"/>
          <w:lang w:eastAsia="sr-Latn-RS"/>
        </w:rPr>
      </w:pPr>
      <w:r w:rsidRPr="00793FC3">
        <w:rPr>
          <w:rFonts w:ascii="Times New Roman" w:hAnsi="Times New Roman"/>
          <w:b/>
          <w:sz w:val="24"/>
          <w:szCs w:val="24"/>
          <w:lang w:val="sr-Cyrl-RS"/>
        </w:rPr>
        <w:t>Уколико је укупан буџет пројекта већи од 500</w:t>
      </w:r>
      <w:r w:rsidR="009F75D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93FC3">
        <w:rPr>
          <w:rFonts w:ascii="Times New Roman" w:hAnsi="Times New Roman"/>
          <w:b/>
          <w:sz w:val="24"/>
          <w:szCs w:val="24"/>
          <w:lang w:val="sr-Cyrl-RS"/>
        </w:rPr>
        <w:t xml:space="preserve">000 динара, неопходно је да </w:t>
      </w:r>
      <w:r w:rsidR="00793FC3">
        <w:rPr>
          <w:rFonts w:ascii="Times New Roman" w:hAnsi="Times New Roman"/>
          <w:b/>
          <w:sz w:val="24"/>
          <w:szCs w:val="24"/>
          <w:lang w:val="sr-Cyrl-RS"/>
        </w:rPr>
        <w:t xml:space="preserve">корисници </w:t>
      </w:r>
      <w:r w:rsidRPr="00793FC3">
        <w:rPr>
          <w:rFonts w:ascii="Times New Roman" w:hAnsi="Times New Roman"/>
          <w:b/>
          <w:sz w:val="24"/>
          <w:szCs w:val="24"/>
          <w:lang w:val="sr-Cyrl-RS"/>
        </w:rPr>
        <w:t xml:space="preserve"> обезбе</w:t>
      </w:r>
      <w:r w:rsidR="00793FC3">
        <w:rPr>
          <w:rFonts w:ascii="Times New Roman" w:hAnsi="Times New Roman"/>
          <w:b/>
          <w:sz w:val="24"/>
          <w:szCs w:val="24"/>
          <w:lang w:val="sr-Cyrl-RS"/>
        </w:rPr>
        <w:t>д</w:t>
      </w:r>
      <w:r w:rsidRPr="00793FC3">
        <w:rPr>
          <w:rFonts w:ascii="Times New Roman" w:hAnsi="Times New Roman"/>
          <w:b/>
          <w:sz w:val="24"/>
          <w:szCs w:val="24"/>
          <w:lang w:val="sr-Cyrl-RS"/>
        </w:rPr>
        <w:t>е сопствена средства у висине разлике до износа укупног буџета пројекта.</w:t>
      </w:r>
    </w:p>
    <w:p w:rsidR="00177183" w:rsidRPr="008613CC" w:rsidRDefault="00177183" w:rsidP="00793FC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CC">
        <w:rPr>
          <w:rFonts w:ascii="Times New Roman" w:eastAsia="Times New Roman" w:hAnsi="Times New Roman"/>
          <w:sz w:val="24"/>
          <w:szCs w:val="24"/>
          <w:lang w:val="sr-Cyrl-RS" w:eastAsia="sr-Latn-RS"/>
        </w:rPr>
        <w:t>С</w:t>
      </w:r>
      <w:r w:rsidRPr="008613CC">
        <w:rPr>
          <w:rFonts w:ascii="Times New Roman" w:hAnsi="Times New Roman"/>
          <w:sz w:val="24"/>
          <w:szCs w:val="24"/>
          <w:lang w:val="sr-Cyrl-RS"/>
        </w:rPr>
        <w:t>редства програма не могу да буду кориишћена за извођење грађевинских радова на пословном простору, куповину земљишта и објеката и друге трошкове који нису неопходни за реализацију бизнис идеје.</w:t>
      </w:r>
    </w:p>
    <w:p w:rsidR="00843966" w:rsidRPr="008613CC" w:rsidRDefault="00843966" w:rsidP="00793F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613CC">
        <w:rPr>
          <w:rFonts w:ascii="Times New Roman" w:hAnsi="Times New Roman"/>
          <w:noProof/>
          <w:sz w:val="24"/>
          <w:szCs w:val="24"/>
          <w:lang w:val="sr-Cyrl-CS"/>
        </w:rPr>
        <w:t>У дозвољене трошкове који могу бити финансира не спадају:</w:t>
      </w:r>
      <w:r w:rsidRPr="008613CC">
        <w:rPr>
          <w:rFonts w:ascii="Times New Roman" w:hAnsi="Times New Roman"/>
          <w:sz w:val="24"/>
          <w:szCs w:val="24"/>
        </w:rPr>
        <w:t xml:space="preserve"> заостале обавезе по основу такси и пореза, зајмови и рате за отплату кредита, трошкови гаранција, полиса осигурања, камат</w:t>
      </w:r>
      <w:r w:rsidRPr="008613CC">
        <w:rPr>
          <w:rFonts w:ascii="Times New Roman" w:hAnsi="Times New Roman"/>
          <w:sz w:val="24"/>
          <w:szCs w:val="24"/>
          <w:lang w:val="sr-Cyrl-RS"/>
        </w:rPr>
        <w:t>а</w:t>
      </w:r>
      <w:r w:rsidRPr="008613CC">
        <w:rPr>
          <w:rFonts w:ascii="Times New Roman" w:hAnsi="Times New Roman"/>
          <w:sz w:val="24"/>
          <w:szCs w:val="24"/>
        </w:rPr>
        <w:t>, трошкови банкарског пословања, курсних разлика, царински и административни трошкови</w:t>
      </w:r>
      <w:r w:rsidRPr="008613CC">
        <w:rPr>
          <w:rFonts w:ascii="Times New Roman" w:hAnsi="Times New Roman"/>
          <w:sz w:val="24"/>
          <w:szCs w:val="24"/>
          <w:lang w:val="sr-Cyrl-RS"/>
        </w:rPr>
        <w:t xml:space="preserve"> и други трошкови ове врсте.</w:t>
      </w:r>
    </w:p>
    <w:p w:rsidR="00565A47" w:rsidRDefault="00565A4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60290B" w:rsidRPr="008613CC" w:rsidRDefault="006029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Стручна служба Министарства врши вредновање бизнис плана, на основу следећих критеријума: 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</w:t>
      </w: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Квалитет имплементације предложене бизнис идеје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Pr="008613C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Рационална употреба буџетских средстава</w:t>
      </w:r>
    </w:p>
    <w:p w:rsidR="0060290B" w:rsidRPr="008613CC" w:rsidRDefault="0060290B" w:rsidP="008613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613CC">
        <w:rPr>
          <w:rFonts w:ascii="Times New Roman" w:hAnsi="Times New Roman" w:cs="Times New Roman"/>
          <w:noProof/>
          <w:sz w:val="24"/>
          <w:szCs w:val="24"/>
          <w:lang w:val="sr-Cyrl-RS"/>
        </w:rPr>
        <w:t>3. Одрживост пројекта</w:t>
      </w:r>
    </w:p>
    <w:p w:rsidR="0060290B" w:rsidRPr="008613CC" w:rsidRDefault="006029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У току вредновања могу се позвати корисници  да лично представе бизнис идеју.</w:t>
      </w:r>
    </w:p>
    <w:p w:rsidR="0060290B" w:rsidRDefault="006029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Коначну одлуку о рангирању и додели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бесповратних 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средстава доноси </w:t>
      </w:r>
      <w:r w:rsidR="00B10411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м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инистар привреде</w:t>
      </w:r>
      <w:r w:rsidR="003703ED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након чега се корисницима достављају решења </w:t>
      </w:r>
      <w:r w:rsidR="00565A47">
        <w:rPr>
          <w:rFonts w:ascii="Times New Roman" w:hAnsi="Times New Roman" w:cs="Times New Roman"/>
          <w:sz w:val="24"/>
          <w:szCs w:val="24"/>
          <w:lang w:val="sr-Cyrl-RS" w:eastAsia="en-GB"/>
        </w:rPr>
        <w:t>о додели бесповратних средстава, на адресу вође тима.</w:t>
      </w:r>
    </w:p>
    <w:p w:rsidR="00565A47" w:rsidRPr="008613CC" w:rsidRDefault="00565A4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83112" w:rsidRPr="008613CC" w:rsidRDefault="00B83112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8004BD" w:rsidRPr="008613CC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ОБАВЕЗЕ КОРИСНИКА НАКОН ДОНОШЕЊА </w:t>
      </w:r>
      <w:r w:rsidR="005272C3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КОНАЧНЕ 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ОДЛУКЕ МИНИСТРА О </w:t>
      </w:r>
      <w:r w:rsidR="005272C3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РАНГИРАЊУ И 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ДОДЕЛИ БЕСПОВРАТНИХ СРЕДСТАВА</w:t>
      </w:r>
    </w:p>
    <w:p w:rsidR="00087E7A" w:rsidRPr="008613CC" w:rsidRDefault="00087E7A" w:rsidP="008613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60C3" w:rsidRPr="008613CC" w:rsidRDefault="00DE6E8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8613CC">
        <w:rPr>
          <w:rFonts w:ascii="Times New Roman" w:hAnsi="Times New Roman"/>
          <w:sz w:val="24"/>
          <w:szCs w:val="24"/>
          <w:lang w:val="sr-Cyrl-RS"/>
        </w:rPr>
        <w:t xml:space="preserve">У случају </w:t>
      </w:r>
      <w:r w:rsidR="002808DC" w:rsidRPr="008613CC">
        <w:rPr>
          <w:rFonts w:ascii="Times New Roman" w:hAnsi="Times New Roman"/>
          <w:sz w:val="24"/>
          <w:szCs w:val="24"/>
          <w:lang w:val="sr-Cyrl-RS"/>
        </w:rPr>
        <w:t>одобрења</w:t>
      </w:r>
      <w:r w:rsidRPr="008613CC">
        <w:rPr>
          <w:rFonts w:ascii="Times New Roman" w:hAnsi="Times New Roman"/>
          <w:sz w:val="24"/>
          <w:szCs w:val="24"/>
          <w:lang w:val="sr-Cyrl-RS"/>
        </w:rPr>
        <w:t xml:space="preserve"> бесповратних средстава </w:t>
      </w:r>
      <w:r w:rsidR="002808DC" w:rsidRPr="008613CC">
        <w:rPr>
          <w:rFonts w:ascii="Times New Roman" w:hAnsi="Times New Roman"/>
          <w:sz w:val="24"/>
          <w:szCs w:val="24"/>
          <w:lang w:val="sr-Cyrl-RS"/>
        </w:rPr>
        <w:t>подносиоци пријаве</w:t>
      </w:r>
      <w:r w:rsidR="00A67C7A" w:rsidRPr="008613CC">
        <w:rPr>
          <w:rFonts w:ascii="Times New Roman" w:hAnsi="Times New Roman"/>
          <w:sz w:val="24"/>
          <w:szCs w:val="24"/>
          <w:lang w:val="sr-Cyrl-RS"/>
        </w:rPr>
        <w:t xml:space="preserve"> су у обавези </w:t>
      </w:r>
      <w:r w:rsidRPr="008613CC">
        <w:rPr>
          <w:rFonts w:ascii="Times New Roman" w:hAnsi="Times New Roman"/>
          <w:sz w:val="24"/>
          <w:szCs w:val="24"/>
          <w:lang w:val="sr-Cyrl-RS"/>
        </w:rPr>
        <w:t>да</w:t>
      </w:r>
      <w:r w:rsidR="00570637" w:rsidRPr="008613C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70637" w:rsidRPr="008613CC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2808D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снују </w:t>
      </w:r>
      <w:r w:rsidR="003054B4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привредн</w:t>
      </w:r>
      <w:r w:rsidR="002808D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и</w:t>
      </w:r>
      <w:r w:rsidR="003054B4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субјек</w:t>
      </w:r>
      <w:r w:rsidR="002808D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</w:t>
      </w:r>
      <w:r w:rsidR="003054B4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т </w:t>
      </w:r>
      <w:r w:rsidR="000244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региструју га </w:t>
      </w:r>
      <w:r w:rsidR="003054B4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у Агенцији за привредне регистре</w:t>
      </w:r>
      <w:r w:rsidR="002808D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у року од 15 радних дана од доношења одлуке о додели бесповратних средстава</w:t>
      </w:r>
      <w:r w:rsidR="00087E7A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</w:p>
    <w:p w:rsidR="00087E7A" w:rsidRPr="008613CC" w:rsidRDefault="00087E7A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Уколико је пријаву поднело само једно лице, оно може да се региструје или као предузетник или да </w:t>
      </w:r>
      <w:r w:rsidR="002808D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оснује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једночлано друштво са органиченом одговорношћу, у којем је оно једини оснивач и законски заступник.</w:t>
      </w:r>
    </w:p>
    <w:p w:rsidR="00087E7A" w:rsidRPr="008613CC" w:rsidRDefault="002808DC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случају да су пријаву </w:t>
      </w:r>
      <w:r w:rsidR="00087E7A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п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однели тимови</w:t>
      </w:r>
      <w:r w:rsidR="00087E7A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, потребно је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65A4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заједнички оснују друштво са ограниченом одговорношћу у ком су </w:t>
      </w:r>
      <w:r w:rsidR="00087E7A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сви чланови тима регистровани у Агенцији за привредне регистре као оснивачи или законски заступници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. Лица која нису била чланови тима не могу бити ни оснивачи нити законски заступници у том привредном друштву.</w:t>
      </w:r>
    </w:p>
    <w:p w:rsidR="00570637" w:rsidRPr="008613CC" w:rsidRDefault="0057063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Уколико корисници не поступе на наведени начин, Министарство неће бити у обавези да закључи уговор са корисницима средстава, што је основ за исплату средстава.</w:t>
      </w:r>
    </w:p>
    <w:p w:rsidR="00087E7A" w:rsidRPr="008613CC" w:rsidRDefault="00F7060B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Уговор о </w:t>
      </w:r>
      <w:r w:rsidR="007B60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додели</w:t>
      </w:r>
      <w:r w:rsidR="007B60C3" w:rsidRPr="008613CC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бесповратни</w:t>
      </w:r>
      <w:r w:rsidR="007B60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х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средст</w:t>
      </w:r>
      <w:r w:rsidR="007B60C3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ва закључује се са регистрованим новооснованим привредним субјектом</w:t>
      </w:r>
      <w:r w:rsidR="002808D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570637" w:rsidRPr="008613CC" w:rsidRDefault="002808DC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Корисници су дужни да према добијеним инструкцијама Министарства, доставе податке о новооснованом привредном субјекту, како би Министарство сачинило Уговор о додели бесповратних средстава, који ће доставити на адресу новооснованог  привредног субјекта.</w:t>
      </w:r>
      <w:r w:rsidR="00087E7A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EB776C" w:rsidRPr="008613CC" w:rsidRDefault="00087E7A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Сматраће се да су одустали од додељених средстава они корисници који нису потписали уговор о додели бесповратних средстава у року од 15 дана од датума пријема уговора. </w:t>
      </w:r>
    </w:p>
    <w:p w:rsidR="00EB776C" w:rsidRPr="008613CC" w:rsidRDefault="00EB776C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Уз уговор се прилаже бланко соло меница новооснованог привредног субјекта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регистрована у пословној банци, са меничним овлашћењем, на начин и према условима који су дефинисани уговором, а која служи као средство обезбеђења за доделу бесповратних средстава у случају да се утврди ненаменско трошење средстава или евентуалне злоупотребе. Након истека рока од две године од закључења уговора, односно анекса уговора (уколико постоји), кориснику средстава </w:t>
      </w:r>
      <w:r w:rsidR="00435CF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који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испунио све обавезе предвиђене уговором о бесповратним средствима, на његов захтев  враћају се менице које су биле средство обезбеђења за бесповратна средства. </w:t>
      </w:r>
    </w:p>
    <w:p w:rsidR="00087E7A" w:rsidRPr="008613CC" w:rsidRDefault="00087E7A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По закључењу уговора о додели бесповратних средстава, </w:t>
      </w:r>
      <w:r w:rsidR="00EB776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привредни субјект има обавезу да отвор</w:t>
      </w:r>
      <w:r w:rsidR="00565A4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и</w:t>
      </w:r>
      <w:r w:rsidR="00EB776C"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посебан, наменски динарски рачун код Управе за трезор</w:t>
      </w:r>
      <w:r w:rsidR="00EB776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. По добијеном обевештењу од корисника о броју отвореног рачуна, Министарство ће извршити пренос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одобрен</w:t>
      </w:r>
      <w:r w:rsidR="00EB776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их бесповратних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средства</w:t>
      </w:r>
      <w:r w:rsidR="00F7060B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 тај рачун.</w:t>
      </w:r>
      <w:r w:rsidR="00EB776C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3703ED" w:rsidRPr="008613CC" w:rsidRDefault="003703E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10411" w:rsidRDefault="00B84064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b/>
          <w:sz w:val="24"/>
          <w:szCs w:val="24"/>
          <w:lang w:val="ru-RU" w:eastAsia="en-GB"/>
        </w:rPr>
        <w:t>ОБАВЕЗЕ КОРИСНИКА ПРИЛИКОМ КОРИШЋЕЊА</w:t>
      </w:r>
      <w:r w:rsidR="008004BD" w:rsidRPr="008613CC">
        <w:rPr>
          <w:rFonts w:ascii="Times New Roman" w:hAnsi="Times New Roman" w:cs="Times New Roman"/>
          <w:b/>
          <w:sz w:val="24"/>
          <w:szCs w:val="24"/>
          <w:lang w:val="ru-RU" w:eastAsia="en-GB"/>
        </w:rPr>
        <w:t xml:space="preserve"> СРЕДСТАВА</w:t>
      </w:r>
    </w:p>
    <w:p w:rsidR="00565A47" w:rsidRPr="008613CC" w:rsidRDefault="00565A4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</w:p>
    <w:p w:rsidR="00435CFC" w:rsidRPr="008613CC" w:rsidRDefault="00435CFC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Уз уговор, корисник средстава добиће инструкцију, у којој ће детаљно бити</w:t>
      </w:r>
      <w:r w:rsidR="00565A47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објашњена процедура 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правдањ</w:t>
      </w:r>
      <w:r w:rsidR="00565A47">
        <w:rPr>
          <w:rFonts w:ascii="Times New Roman" w:hAnsi="Times New Roman" w:cs="Times New Roman"/>
          <w:sz w:val="24"/>
          <w:szCs w:val="24"/>
          <w:lang w:val="ru-RU" w:eastAsia="en-GB"/>
        </w:rPr>
        <w:t>а и контроле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коришћења средстава.</w:t>
      </w:r>
    </w:p>
    <w:p w:rsidR="008004BD" w:rsidRPr="008613CC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Корисник средстава је дужан да додељена средства у целости утроши </w:t>
      </w:r>
      <w:r w:rsidRPr="008613CC">
        <w:rPr>
          <w:rFonts w:ascii="Times New Roman" w:hAnsi="Times New Roman" w:cs="Times New Roman"/>
          <w:b/>
          <w:sz w:val="24"/>
          <w:szCs w:val="24"/>
          <w:lang w:val="ru-RU" w:eastAsia="en-GB"/>
        </w:rPr>
        <w:t xml:space="preserve">најкасније до </w:t>
      </w:r>
      <w:r w:rsidRPr="008613CC">
        <w:rPr>
          <w:rFonts w:ascii="Times New Roman" w:hAnsi="Times New Roman" w:cs="Times New Roman"/>
          <w:b/>
          <w:sz w:val="24"/>
          <w:szCs w:val="24"/>
          <w:lang w:eastAsia="en-GB"/>
        </w:rPr>
        <w:t>3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Pr="008613CC">
        <w:rPr>
          <w:rFonts w:ascii="Times New Roman" w:hAnsi="Times New Roman" w:cs="Times New Roman"/>
          <w:b/>
          <w:sz w:val="24"/>
          <w:szCs w:val="24"/>
          <w:lang w:eastAsia="en-GB"/>
        </w:rPr>
        <w:t>. ј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ануара</w:t>
      </w:r>
      <w:r w:rsidRPr="008613CC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202</w:t>
      </w:r>
      <w:r w:rsidRPr="008613C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6</w:t>
      </w:r>
      <w:r w:rsidRPr="008613CC">
        <w:rPr>
          <w:rFonts w:ascii="Times New Roman" w:hAnsi="Times New Roman" w:cs="Times New Roman"/>
          <w:b/>
          <w:sz w:val="24"/>
          <w:szCs w:val="24"/>
          <w:lang w:eastAsia="en-GB"/>
        </w:rPr>
        <w:t>. године</w:t>
      </w:r>
      <w:r w:rsidRPr="008613CC">
        <w:rPr>
          <w:rFonts w:ascii="Times New Roman" w:hAnsi="Times New Roman" w:cs="Times New Roman"/>
          <w:b/>
          <w:sz w:val="24"/>
          <w:szCs w:val="24"/>
          <w:lang w:val="ru-RU" w:eastAsia="en-GB"/>
        </w:rPr>
        <w:t xml:space="preserve">. </w:t>
      </w:r>
    </w:p>
    <w:p w:rsidR="00565A47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lastRenderedPageBreak/>
        <w:t xml:space="preserve">Корисник средстава је у обавези да средства употреби </w:t>
      </w:r>
      <w:r w:rsidRPr="008613CC">
        <w:rPr>
          <w:rFonts w:ascii="Times New Roman" w:hAnsi="Times New Roman" w:cs="Times New Roman"/>
          <w:b/>
          <w:sz w:val="24"/>
          <w:szCs w:val="24"/>
          <w:lang w:val="ru-RU" w:eastAsia="en-GB"/>
        </w:rPr>
        <w:t>у складу са наменом за коју су му одобрена</w:t>
      </w:r>
      <w:r w:rsidR="00565A47">
        <w:rPr>
          <w:rFonts w:ascii="Times New Roman" w:hAnsi="Times New Roman" w:cs="Times New Roman"/>
          <w:b/>
          <w:sz w:val="24"/>
          <w:szCs w:val="24"/>
          <w:lang w:val="ru-RU" w:eastAsia="en-GB"/>
        </w:rPr>
        <w:t>.</w:t>
      </w:r>
    </w:p>
    <w:p w:rsidR="008004BD" w:rsidRPr="008613CC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Корисник средстава не може у року од једне године од дана закључења уговора, односно анекса уговора (уколико постоји) о додели бесповратних средстава да:</w:t>
      </w:r>
    </w:p>
    <w:p w:rsidR="008004BD" w:rsidRPr="008613CC" w:rsidRDefault="008004BD" w:rsidP="008613C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-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ab/>
        <w:t>обрише из регистра предузетничку радњу, односно покрене поступак ликвидације или стечаја привредног друштва,</w:t>
      </w:r>
    </w:p>
    <w:p w:rsidR="008004BD" w:rsidRPr="008613CC" w:rsidRDefault="008004BD" w:rsidP="008613C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-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ab/>
        <w:t xml:space="preserve">отуђи, односно прода или заложи предмет набавке, нити да исти да у закуп.  </w:t>
      </w:r>
    </w:p>
    <w:p w:rsidR="008004BD" w:rsidRPr="008613CC" w:rsidRDefault="008004BD" w:rsidP="008613CC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У случају непоштовања обавеза дефинисаних уговором о додели бесповратних средстава, корисник је у обавези да врати одобрена бесповратна средства увећана за законску затезну камату у складу са важећим законом о затезној камати, која се обрачунава од датума исплате средстава кориснику. </w:t>
      </w:r>
    </w:p>
    <w:p w:rsidR="00570637" w:rsidRPr="008613CC" w:rsidRDefault="0057063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Корисник средстава је дужан да, у случају наступања непредвиђених околности које су довеле до одступања од </w:t>
      </w:r>
      <w:r w:rsidR="00C11463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одобреног буџета и 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услова дефинисаних у решењу о додели бесповратних средстава, без одлагања о томе обавести Министарство</w:t>
      </w:r>
      <w:r w:rsidRPr="008613CC">
        <w:rPr>
          <w:rFonts w:ascii="Times New Roman" w:hAnsi="Times New Roman" w:cs="Times New Roman"/>
          <w:sz w:val="24"/>
          <w:szCs w:val="24"/>
          <w:lang w:val="sr-Latn-RS" w:eastAsia="en-GB"/>
        </w:rPr>
        <w:t>.</w:t>
      </w:r>
    </w:p>
    <w:p w:rsidR="008004BD" w:rsidRPr="008613CC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У случају да наступи немогућност испуњења уговора, за коју не одговара ниједна уговорна страна, приступиће се споразумном раскиду уговора којим ће стране регулисати последице раскида, применом одредаба Закона о облигационим односима, којима је уређен институт немогућности испуњења.</w:t>
      </w:r>
    </w:p>
    <w:p w:rsidR="00570637" w:rsidRPr="008613CC" w:rsidRDefault="00B84064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Корисник средстава је у обавези да до 31. март 2026. године  достави Министарству, за потребе контроле, доказе за проверу утрошка одобрених бесповратних средстава, као и да у периоду до 30. јуна 2026. године обезбеди све неопходне услове и документацију за потребе наменске контроле.</w:t>
      </w:r>
      <w:r w:rsidR="00570637"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570637" w:rsidRPr="008613CC" w:rsidRDefault="00570637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Непосредно након </w:t>
      </w:r>
      <w:r w:rsidR="00C11463">
        <w:rPr>
          <w:rFonts w:ascii="Times New Roman" w:hAnsi="Times New Roman" w:cs="Times New Roman"/>
          <w:sz w:val="24"/>
          <w:szCs w:val="24"/>
          <w:lang w:val="sr-Cyrl-RS" w:eastAsia="en-GB"/>
        </w:rPr>
        <w:t>утрошка средстава по одобреном буџету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 од стране привредног субјекта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/корисника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, у циљу провере наменског утрошка средстава, АРРА врши теренску контролу. </w:t>
      </w:r>
    </w:p>
    <w:p w:rsidR="00B84064" w:rsidRPr="008613CC" w:rsidRDefault="00B84064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Корисник средстава је у обавези да Министарству, </w:t>
      </w:r>
      <w:r w:rsidR="00C11463">
        <w:rPr>
          <w:rFonts w:ascii="Times New Roman" w:hAnsi="Times New Roman" w:cs="Times New Roman"/>
          <w:sz w:val="24"/>
          <w:szCs w:val="24"/>
          <w:lang w:val="ru-RU" w:eastAsia="en-GB"/>
        </w:rPr>
        <w:t>АРРА</w:t>
      </w:r>
      <w:r w:rsidR="00570637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8613CC">
        <w:rPr>
          <w:rFonts w:ascii="Times New Roman" w:hAnsi="Times New Roman" w:cs="Times New Roman"/>
          <w:sz w:val="24"/>
          <w:szCs w:val="24"/>
          <w:lang w:val="ru-RU" w:eastAsia="en-GB"/>
        </w:rPr>
        <w:t>и Комисији за контролу државне помоћи, у циљу праћења коришћења средстава,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документацију.</w:t>
      </w:r>
    </w:p>
    <w:p w:rsidR="008004BD" w:rsidRPr="008613CC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3CC">
        <w:rPr>
          <w:rFonts w:ascii="Times New Roman" w:hAnsi="Times New Roman" w:cs="Times New Roman"/>
          <w:sz w:val="24"/>
          <w:szCs w:val="24"/>
        </w:rPr>
        <w:t>Уколико се на заказаној теренској контроли за утврђивање наменског коришћења одобрених и додељених средстава не појави оснивач</w:t>
      </w:r>
      <w:r w:rsidRPr="008613CC">
        <w:rPr>
          <w:rFonts w:ascii="Times New Roman" w:hAnsi="Times New Roman" w:cs="Times New Roman"/>
          <w:sz w:val="24"/>
          <w:szCs w:val="24"/>
          <w:lang w:val="sr-Cyrl-RS"/>
        </w:rPr>
        <w:t>/оснивачи</w:t>
      </w:r>
      <w:r w:rsidRPr="008613CC">
        <w:rPr>
          <w:rFonts w:ascii="Times New Roman" w:hAnsi="Times New Roman" w:cs="Times New Roman"/>
          <w:sz w:val="24"/>
          <w:szCs w:val="24"/>
        </w:rPr>
        <w:t>, уговор ће бити раскинут.</w:t>
      </w:r>
    </w:p>
    <w:p w:rsidR="008004BD" w:rsidRDefault="008004BD" w:rsidP="00861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613CC">
        <w:rPr>
          <w:rFonts w:ascii="Times New Roman" w:hAnsi="Times New Roman" w:cs="Times New Roman"/>
          <w:sz w:val="24"/>
          <w:szCs w:val="24"/>
          <w:lang w:eastAsia="en-GB"/>
        </w:rPr>
        <w:t>Корисник средстава дужан је да по завршетку активности достави Министарству сву документацију за правдање средстава чији ће садржај бити детаљно дефинисан</w:t>
      </w:r>
      <w:r w:rsidR="00570637"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 уговором. Наведена документација мора бити достављена Министарству  до 31. 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марта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 xml:space="preserve"> 202</w:t>
      </w:r>
      <w:r w:rsidRPr="008613CC"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 w:rsidRPr="008613CC">
        <w:rPr>
          <w:rFonts w:ascii="Times New Roman" w:hAnsi="Times New Roman" w:cs="Times New Roman"/>
          <w:sz w:val="24"/>
          <w:szCs w:val="24"/>
          <w:lang w:eastAsia="en-GB"/>
        </w:rPr>
        <w:t>. године.</w:t>
      </w:r>
    </w:p>
    <w:p w:rsidR="008613CC" w:rsidRDefault="008613CC">
      <w:pPr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8613CC" w:rsidSect="005727F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5F" w:rsidRDefault="0005125F" w:rsidP="0005125F">
      <w:pPr>
        <w:spacing w:after="0" w:line="240" w:lineRule="auto"/>
      </w:pPr>
      <w:r>
        <w:separator/>
      </w:r>
    </w:p>
  </w:endnote>
  <w:endnote w:type="continuationSeparator" w:id="0">
    <w:p w:rsidR="0005125F" w:rsidRDefault="0005125F" w:rsidP="000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5F" w:rsidRDefault="0005125F" w:rsidP="0005125F">
      <w:pPr>
        <w:spacing w:after="0" w:line="240" w:lineRule="auto"/>
      </w:pPr>
      <w:r>
        <w:separator/>
      </w:r>
    </w:p>
  </w:footnote>
  <w:footnote w:type="continuationSeparator" w:id="0">
    <w:p w:rsidR="0005125F" w:rsidRDefault="0005125F" w:rsidP="0005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469"/>
    <w:multiLevelType w:val="multilevel"/>
    <w:tmpl w:val="AE48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23697"/>
    <w:multiLevelType w:val="hybridMultilevel"/>
    <w:tmpl w:val="158CE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93412"/>
    <w:multiLevelType w:val="multilevel"/>
    <w:tmpl w:val="B5A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C7EC4"/>
    <w:multiLevelType w:val="hybridMultilevel"/>
    <w:tmpl w:val="E20A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20F7"/>
    <w:multiLevelType w:val="hybridMultilevel"/>
    <w:tmpl w:val="D6F63C40"/>
    <w:lvl w:ilvl="0" w:tplc="B526F26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66" w:hanging="360"/>
      </w:pPr>
    </w:lvl>
    <w:lvl w:ilvl="2" w:tplc="0409001B">
      <w:start w:val="1"/>
      <w:numFmt w:val="lowerRoman"/>
      <w:lvlText w:val="%3."/>
      <w:lvlJc w:val="right"/>
      <w:pPr>
        <w:ind w:left="3986" w:hanging="180"/>
      </w:pPr>
    </w:lvl>
    <w:lvl w:ilvl="3" w:tplc="0409000F">
      <w:start w:val="1"/>
      <w:numFmt w:val="decimal"/>
      <w:lvlText w:val="%4."/>
      <w:lvlJc w:val="left"/>
      <w:pPr>
        <w:ind w:left="4706" w:hanging="360"/>
      </w:pPr>
    </w:lvl>
    <w:lvl w:ilvl="4" w:tplc="04090019">
      <w:start w:val="1"/>
      <w:numFmt w:val="lowerLetter"/>
      <w:lvlText w:val="%5."/>
      <w:lvlJc w:val="left"/>
      <w:pPr>
        <w:ind w:left="5426" w:hanging="360"/>
      </w:pPr>
    </w:lvl>
    <w:lvl w:ilvl="5" w:tplc="0409001B">
      <w:start w:val="1"/>
      <w:numFmt w:val="lowerRoman"/>
      <w:lvlText w:val="%6."/>
      <w:lvlJc w:val="right"/>
      <w:pPr>
        <w:ind w:left="6146" w:hanging="180"/>
      </w:pPr>
    </w:lvl>
    <w:lvl w:ilvl="6" w:tplc="0409000F">
      <w:start w:val="1"/>
      <w:numFmt w:val="decimal"/>
      <w:lvlText w:val="%7."/>
      <w:lvlJc w:val="left"/>
      <w:pPr>
        <w:ind w:left="6866" w:hanging="360"/>
      </w:pPr>
    </w:lvl>
    <w:lvl w:ilvl="7" w:tplc="04090019">
      <w:start w:val="1"/>
      <w:numFmt w:val="lowerLetter"/>
      <w:lvlText w:val="%8."/>
      <w:lvlJc w:val="left"/>
      <w:pPr>
        <w:ind w:left="7586" w:hanging="360"/>
      </w:pPr>
    </w:lvl>
    <w:lvl w:ilvl="8" w:tplc="0409001B">
      <w:start w:val="1"/>
      <w:numFmt w:val="lowerRoman"/>
      <w:lvlText w:val="%9."/>
      <w:lvlJc w:val="right"/>
      <w:pPr>
        <w:ind w:left="8306" w:hanging="180"/>
      </w:pPr>
    </w:lvl>
  </w:abstractNum>
  <w:abstractNum w:abstractNumId="5" w15:restartNumberingAfterBreak="0">
    <w:nsid w:val="1DE7634D"/>
    <w:multiLevelType w:val="hybridMultilevel"/>
    <w:tmpl w:val="5620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36B2"/>
    <w:multiLevelType w:val="hybridMultilevel"/>
    <w:tmpl w:val="52EA3C84"/>
    <w:lvl w:ilvl="0" w:tplc="38BE3F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3934EB"/>
    <w:multiLevelType w:val="hybridMultilevel"/>
    <w:tmpl w:val="AE1634EE"/>
    <w:lvl w:ilvl="0" w:tplc="93DAAD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40825"/>
    <w:multiLevelType w:val="hybridMultilevel"/>
    <w:tmpl w:val="F2EE3B5A"/>
    <w:lvl w:ilvl="0" w:tplc="06AEB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A34892"/>
    <w:multiLevelType w:val="multilevel"/>
    <w:tmpl w:val="88AEE7EE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28150C"/>
    <w:multiLevelType w:val="multilevel"/>
    <w:tmpl w:val="5F5846B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2" w15:restartNumberingAfterBreak="0">
    <w:nsid w:val="5AFE1CA8"/>
    <w:multiLevelType w:val="hybridMultilevel"/>
    <w:tmpl w:val="120C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F5276"/>
    <w:multiLevelType w:val="hybridMultilevel"/>
    <w:tmpl w:val="C93E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B5665"/>
    <w:multiLevelType w:val="hybridMultilevel"/>
    <w:tmpl w:val="54C0BE92"/>
    <w:lvl w:ilvl="0" w:tplc="69B6CC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5C0AB3"/>
    <w:multiLevelType w:val="hybridMultilevel"/>
    <w:tmpl w:val="67185A8C"/>
    <w:lvl w:ilvl="0" w:tplc="D388BEF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3611BA2"/>
    <w:multiLevelType w:val="hybridMultilevel"/>
    <w:tmpl w:val="D8E6A1B6"/>
    <w:lvl w:ilvl="0" w:tplc="99AAB7E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8"/>
  </w:num>
  <w:num w:numId="9">
    <w:abstractNumId w:val="7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3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B"/>
    <w:rsid w:val="00024451"/>
    <w:rsid w:val="000326A5"/>
    <w:rsid w:val="0005125F"/>
    <w:rsid w:val="00087E7A"/>
    <w:rsid w:val="000A1338"/>
    <w:rsid w:val="000B218A"/>
    <w:rsid w:val="000B3E92"/>
    <w:rsid w:val="000B578D"/>
    <w:rsid w:val="000B714D"/>
    <w:rsid w:val="0010309D"/>
    <w:rsid w:val="001050A7"/>
    <w:rsid w:val="00106D20"/>
    <w:rsid w:val="0011316D"/>
    <w:rsid w:val="00177183"/>
    <w:rsid w:val="00186C05"/>
    <w:rsid w:val="0022455B"/>
    <w:rsid w:val="002376F5"/>
    <w:rsid w:val="002808DC"/>
    <w:rsid w:val="00293B20"/>
    <w:rsid w:val="00296A1D"/>
    <w:rsid w:val="002E1392"/>
    <w:rsid w:val="002E2557"/>
    <w:rsid w:val="003054B4"/>
    <w:rsid w:val="00314AA3"/>
    <w:rsid w:val="00331390"/>
    <w:rsid w:val="00343988"/>
    <w:rsid w:val="003452FB"/>
    <w:rsid w:val="00363B8E"/>
    <w:rsid w:val="00365350"/>
    <w:rsid w:val="00366978"/>
    <w:rsid w:val="003703ED"/>
    <w:rsid w:val="0037700F"/>
    <w:rsid w:val="0039172F"/>
    <w:rsid w:val="003B1345"/>
    <w:rsid w:val="003B3267"/>
    <w:rsid w:val="00435CFC"/>
    <w:rsid w:val="00444E44"/>
    <w:rsid w:val="004604A4"/>
    <w:rsid w:val="00467F5E"/>
    <w:rsid w:val="00476A85"/>
    <w:rsid w:val="004A219C"/>
    <w:rsid w:val="004D075E"/>
    <w:rsid w:val="004E0419"/>
    <w:rsid w:val="004F420D"/>
    <w:rsid w:val="00506470"/>
    <w:rsid w:val="005272C3"/>
    <w:rsid w:val="005379E8"/>
    <w:rsid w:val="005549F8"/>
    <w:rsid w:val="00557AE2"/>
    <w:rsid w:val="005612D0"/>
    <w:rsid w:val="00565A47"/>
    <w:rsid w:val="00570637"/>
    <w:rsid w:val="005727FB"/>
    <w:rsid w:val="005732F0"/>
    <w:rsid w:val="005A45A4"/>
    <w:rsid w:val="0060290B"/>
    <w:rsid w:val="006212CD"/>
    <w:rsid w:val="00634178"/>
    <w:rsid w:val="00644BC1"/>
    <w:rsid w:val="00662E89"/>
    <w:rsid w:val="00667335"/>
    <w:rsid w:val="00667F39"/>
    <w:rsid w:val="006F5A1A"/>
    <w:rsid w:val="00704C41"/>
    <w:rsid w:val="00710564"/>
    <w:rsid w:val="00717CD4"/>
    <w:rsid w:val="00735DAF"/>
    <w:rsid w:val="00761099"/>
    <w:rsid w:val="00772EA5"/>
    <w:rsid w:val="00774B0A"/>
    <w:rsid w:val="00793FC3"/>
    <w:rsid w:val="007A13F1"/>
    <w:rsid w:val="007A7659"/>
    <w:rsid w:val="007B60C3"/>
    <w:rsid w:val="007E6E5A"/>
    <w:rsid w:val="008004BD"/>
    <w:rsid w:val="008117AD"/>
    <w:rsid w:val="00832E83"/>
    <w:rsid w:val="008347DE"/>
    <w:rsid w:val="00843966"/>
    <w:rsid w:val="008613CC"/>
    <w:rsid w:val="008775CE"/>
    <w:rsid w:val="008C7F16"/>
    <w:rsid w:val="008D0FBF"/>
    <w:rsid w:val="008E5239"/>
    <w:rsid w:val="009349A8"/>
    <w:rsid w:val="00946AD5"/>
    <w:rsid w:val="009741A0"/>
    <w:rsid w:val="009F25E0"/>
    <w:rsid w:val="009F5510"/>
    <w:rsid w:val="009F75D0"/>
    <w:rsid w:val="00A06633"/>
    <w:rsid w:val="00A35C00"/>
    <w:rsid w:val="00A67C7A"/>
    <w:rsid w:val="00A7299D"/>
    <w:rsid w:val="00A97E5C"/>
    <w:rsid w:val="00AA5E3B"/>
    <w:rsid w:val="00AD27A0"/>
    <w:rsid w:val="00AD6799"/>
    <w:rsid w:val="00B03858"/>
    <w:rsid w:val="00B10411"/>
    <w:rsid w:val="00B61E99"/>
    <w:rsid w:val="00B770E5"/>
    <w:rsid w:val="00B83112"/>
    <w:rsid w:val="00B84064"/>
    <w:rsid w:val="00B868CC"/>
    <w:rsid w:val="00B939BE"/>
    <w:rsid w:val="00BA5B92"/>
    <w:rsid w:val="00BD62C0"/>
    <w:rsid w:val="00BE73FA"/>
    <w:rsid w:val="00BF07EF"/>
    <w:rsid w:val="00BF6199"/>
    <w:rsid w:val="00C11463"/>
    <w:rsid w:val="00C130B8"/>
    <w:rsid w:val="00C3054A"/>
    <w:rsid w:val="00C85CCA"/>
    <w:rsid w:val="00CB3A92"/>
    <w:rsid w:val="00CC32FE"/>
    <w:rsid w:val="00CD3D39"/>
    <w:rsid w:val="00CD7D8D"/>
    <w:rsid w:val="00D3425D"/>
    <w:rsid w:val="00D34A9C"/>
    <w:rsid w:val="00D5130E"/>
    <w:rsid w:val="00DD2082"/>
    <w:rsid w:val="00DE6E87"/>
    <w:rsid w:val="00DF406F"/>
    <w:rsid w:val="00E10EF1"/>
    <w:rsid w:val="00E60C15"/>
    <w:rsid w:val="00E713E4"/>
    <w:rsid w:val="00E90E93"/>
    <w:rsid w:val="00E93927"/>
    <w:rsid w:val="00EA7BE9"/>
    <w:rsid w:val="00EB776C"/>
    <w:rsid w:val="00EC4077"/>
    <w:rsid w:val="00EE42F2"/>
    <w:rsid w:val="00EF02AB"/>
    <w:rsid w:val="00EF318D"/>
    <w:rsid w:val="00F1570B"/>
    <w:rsid w:val="00F3056F"/>
    <w:rsid w:val="00F663F5"/>
    <w:rsid w:val="00F7060B"/>
    <w:rsid w:val="00F70EEC"/>
    <w:rsid w:val="00F72792"/>
    <w:rsid w:val="00F83E4C"/>
    <w:rsid w:val="00F94B49"/>
    <w:rsid w:val="00FA2AF1"/>
    <w:rsid w:val="00FA45BC"/>
    <w:rsid w:val="00FB2127"/>
    <w:rsid w:val="00FC1316"/>
    <w:rsid w:val="00FC49A6"/>
    <w:rsid w:val="00FC56CB"/>
    <w:rsid w:val="00FD4E9F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E4753-2EA9-489C-80F6-4085FA3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735DAF"/>
    <w:pPr>
      <w:ind w:left="720"/>
      <w:contextualSpacing/>
    </w:p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735DAF"/>
  </w:style>
  <w:style w:type="table" w:styleId="TableGrid">
    <w:name w:val="Table Grid"/>
    <w:basedOn w:val="TableNormal"/>
    <w:uiPriority w:val="39"/>
    <w:rsid w:val="0083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05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2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5125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5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2E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B36B-42EA-4B3B-BCB6-0569932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Katarina Obradović Jovanović</cp:lastModifiedBy>
  <cp:revision>97</cp:revision>
  <cp:lastPrinted>2025-01-15T15:14:00Z</cp:lastPrinted>
  <dcterms:created xsi:type="dcterms:W3CDTF">2024-07-05T13:34:00Z</dcterms:created>
  <dcterms:modified xsi:type="dcterms:W3CDTF">2025-01-23T15:09:00Z</dcterms:modified>
</cp:coreProperties>
</file>